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51BF8" w14:textId="27514655" w:rsidR="008F3283" w:rsidRPr="00771486" w:rsidRDefault="00946496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3753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100</w:t>
      </w:r>
      <w:r w:rsidR="00F2294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635A6D" w:rsidRPr="00C7495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375359" w:rsidRPr="00C7495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</w:t>
      </w:r>
      <w:r w:rsidR="00C74952" w:rsidRPr="00C7495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002306</w:t>
      </w:r>
    </w:p>
    <w:p w14:paraId="714EB9C1" w14:textId="6750FBAE" w:rsidR="008F3283" w:rsidRDefault="00375359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="00346012"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F2294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April 20</w:t>
      </w:r>
      <w:r w:rsidR="00F22942"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F2294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30</w:t>
      </w:r>
      <w:r w:rsidR="00F22942"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346012"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86460D4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1375CD" w:rsidRPr="00146444">
        <w:rPr>
          <w:rFonts w:ascii="Times New Roman" w:hAnsi="Times New Roman"/>
          <w:b/>
          <w:bCs/>
          <w:sz w:val="22"/>
          <w:szCs w:val="22"/>
          <w:lang w:val="en-US"/>
        </w:rPr>
        <w:t>7</w:t>
      </w:r>
      <w:r w:rsidR="00E246F8" w:rsidRPr="0014644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F17C46" w:rsidRPr="00146444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0D2FB2" w:rsidRPr="0014644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305A60">
        <w:rPr>
          <w:rFonts w:ascii="Times New Roman" w:hAnsi="Times New Roman"/>
          <w:b/>
          <w:bCs/>
          <w:sz w:val="22"/>
          <w:szCs w:val="22"/>
          <w:lang w:val="en-US"/>
        </w:rPr>
        <w:t>2.2.3</w:t>
      </w:r>
    </w:p>
    <w:p w14:paraId="186753AF" w14:textId="2E751E4F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="00B50C3C">
        <w:rPr>
          <w:rFonts w:ascii="Times New Roman" w:hAnsi="Times New Roman" w:cs="Times New Roman"/>
          <w:b/>
          <w:bCs/>
        </w:rPr>
        <w:t>,</w:t>
      </w:r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31058F71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057F18">
        <w:rPr>
          <w:rFonts w:ascii="Times New Roman" w:hAnsi="Times New Roman" w:cs="Times New Roman"/>
          <w:b/>
          <w:bCs/>
        </w:rPr>
        <w:t>One shot</w:t>
      </w:r>
      <w:r w:rsidR="00FC4D3C">
        <w:rPr>
          <w:rFonts w:ascii="Times New Roman" w:hAnsi="Times New Roman" w:cs="Times New Roman"/>
          <w:b/>
          <w:bCs/>
        </w:rPr>
        <w:t xml:space="preserve"> </w:t>
      </w:r>
      <w:r w:rsidR="00305A60">
        <w:rPr>
          <w:rFonts w:ascii="Times New Roman" w:hAnsi="Times New Roman" w:cs="Times New Roman"/>
          <w:b/>
          <w:bCs/>
        </w:rPr>
        <w:t>HARQ</w:t>
      </w:r>
      <w:r w:rsidR="00057F18">
        <w:rPr>
          <w:rFonts w:ascii="Times New Roman" w:hAnsi="Times New Roman" w:cs="Times New Roman"/>
          <w:b/>
          <w:bCs/>
        </w:rPr>
        <w:t>-</w:t>
      </w:r>
      <w:r w:rsidR="001B39D0">
        <w:rPr>
          <w:rFonts w:ascii="Times New Roman" w:hAnsi="Times New Roman" w:cs="Times New Roman"/>
          <w:b/>
          <w:bCs/>
        </w:rPr>
        <w:t>ACK feedback</w:t>
      </w:r>
    </w:p>
    <w:p w14:paraId="20F2A3ED" w14:textId="3A078327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  <w:r w:rsidR="00F17C46" w:rsidRPr="00146444">
        <w:rPr>
          <w:rFonts w:ascii="Times New Roman" w:hAnsi="Times New Roman" w:cs="Times New Roman"/>
          <w:b/>
          <w:bCs/>
        </w:rPr>
        <w:t xml:space="preserve"> and Decision</w:t>
      </w:r>
      <w:bookmarkStart w:id="0" w:name="_GoBack"/>
      <w:bookmarkEnd w:id="0"/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1" w:name="_Ref513464071"/>
      <w:r w:rsidRPr="00146444">
        <w:rPr>
          <w:rFonts w:ascii="Times New Roman" w:hAnsi="Times New Roman"/>
          <w:szCs w:val="32"/>
        </w:rPr>
        <w:t>Introduction</w:t>
      </w:r>
      <w:bookmarkEnd w:id="1"/>
    </w:p>
    <w:p w14:paraId="3CADA82E" w14:textId="4D8FAF2E" w:rsidR="00F60B43" w:rsidRDefault="00F60B43" w:rsidP="001C4C2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the RAN1#99 meeting, the following agreement</w:t>
      </w:r>
      <w:r w:rsidR="00EB663E">
        <w:rPr>
          <w:rFonts w:ascii="Times New Roman" w:hAnsi="Times New Roman" w:cs="Times New Roman"/>
          <w:sz w:val="20"/>
          <w:szCs w:val="20"/>
        </w:rPr>
        <w:t xml:space="preserve"> and working assumption were agreed:</w:t>
      </w:r>
    </w:p>
    <w:p w14:paraId="3DC11864" w14:textId="77777777" w:rsidR="00C53E30" w:rsidRPr="00C53E30" w:rsidRDefault="00C53E30" w:rsidP="00C53E30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C53E30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33D1942A" w14:textId="77777777" w:rsidR="00C53E30" w:rsidRPr="00C53E30" w:rsidRDefault="00C53E30" w:rsidP="00C53E30">
      <w:pPr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C53E3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If a UE is configured to monitor feedback request for one-shot HARQ-ACK codebook feedback and the feedback is requested in </w:t>
      </w:r>
      <w:r w:rsidRPr="00C53E30">
        <w:rPr>
          <w:rFonts w:ascii="Times New Roman" w:hAnsi="Times New Roman" w:cs="Times New Roman"/>
          <w:sz w:val="20"/>
          <w:szCs w:val="20"/>
          <w:lang w:eastAsia="x-none"/>
        </w:rPr>
        <w:t>DL DCI 1_1</w:t>
      </w:r>
    </w:p>
    <w:p w14:paraId="0A2DCEF3" w14:textId="77777777" w:rsidR="00C53E30" w:rsidRPr="00C53E30" w:rsidRDefault="00C53E30" w:rsidP="00C53E30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C53E30">
        <w:rPr>
          <w:rFonts w:ascii="Times New Roman" w:hAnsi="Times New Roman" w:cs="Times New Roman"/>
          <w:sz w:val="20"/>
          <w:szCs w:val="20"/>
          <w:lang w:eastAsia="x-none"/>
        </w:rPr>
        <w:t>This DL DCI can either schedule or not schedule a PDSCH</w:t>
      </w:r>
    </w:p>
    <w:p w14:paraId="1A6902E4" w14:textId="77777777" w:rsidR="00C53E30" w:rsidRPr="00C53E30" w:rsidRDefault="00C53E30" w:rsidP="00C53E30">
      <w:pPr>
        <w:numPr>
          <w:ilvl w:val="1"/>
          <w:numId w:val="5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C53E30">
        <w:rPr>
          <w:rFonts w:ascii="Times New Roman" w:hAnsi="Times New Roman" w:cs="Times New Roman"/>
          <w:sz w:val="20"/>
          <w:szCs w:val="20"/>
          <w:highlight w:val="darkYellow"/>
          <w:lang w:eastAsia="x-none"/>
        </w:rPr>
        <w:t>Working assumption:</w:t>
      </w:r>
      <w:r w:rsidRPr="00C53E30">
        <w:rPr>
          <w:rFonts w:ascii="Times New Roman" w:hAnsi="Times New Roman" w:cs="Times New Roman"/>
          <w:sz w:val="20"/>
          <w:szCs w:val="20"/>
          <w:lang w:eastAsia="x-none"/>
        </w:rPr>
        <w:t xml:space="preserve"> One value of the frequency domain resource assignment field indicates that this DCI does not schedule a PDSCH</w:t>
      </w:r>
    </w:p>
    <w:p w14:paraId="49A0AAA9" w14:textId="77777777" w:rsidR="00C53E30" w:rsidRPr="00C53E30" w:rsidRDefault="00C53E30" w:rsidP="00C53E30">
      <w:pPr>
        <w:numPr>
          <w:ilvl w:val="1"/>
          <w:numId w:val="5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C53E30">
        <w:rPr>
          <w:rFonts w:ascii="Times New Roman" w:hAnsi="Times New Roman" w:cs="Times New Roman"/>
          <w:sz w:val="20"/>
          <w:szCs w:val="20"/>
          <w:lang w:eastAsia="x-none"/>
        </w:rPr>
        <w:t>If the DL DCI does not schedule a PDSCH, the HARQ process ID and NDI fields are ignored by the UE</w:t>
      </w:r>
    </w:p>
    <w:p w14:paraId="33BFFA53" w14:textId="77777777" w:rsidR="00C53E30" w:rsidRPr="00C53E30" w:rsidRDefault="00C53E30" w:rsidP="00C53E30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C53E30">
        <w:rPr>
          <w:rFonts w:ascii="Times New Roman" w:hAnsi="Times New Roman" w:cs="Times New Roman"/>
          <w:sz w:val="20"/>
          <w:szCs w:val="20"/>
          <w:lang w:eastAsia="x-none"/>
        </w:rPr>
        <w:t>If UE is triggered to report both one-shot and other HARQ-ACK feedback in the same slot, the UE reports only the one-shot feedback.</w:t>
      </w:r>
    </w:p>
    <w:p w14:paraId="19403928" w14:textId="77777777" w:rsidR="00EB663E" w:rsidRDefault="00EB663E" w:rsidP="001C4C2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3733736" w14:textId="2FDE4146" w:rsidR="001C4C20" w:rsidRPr="009F0211" w:rsidRDefault="001C4C20" w:rsidP="001C4C20">
      <w:pPr>
        <w:jc w:val="both"/>
        <w:rPr>
          <w:rFonts w:ascii="Times New Roman" w:hAnsi="Times New Roman" w:cs="Times New Roman"/>
          <w:sz w:val="20"/>
          <w:szCs w:val="20"/>
        </w:rPr>
      </w:pPr>
      <w:r w:rsidRPr="009F0211">
        <w:rPr>
          <w:rFonts w:ascii="Times New Roman" w:hAnsi="Times New Roman" w:cs="Times New Roman"/>
          <w:sz w:val="20"/>
          <w:szCs w:val="20"/>
        </w:rPr>
        <w:t xml:space="preserve">This contribution </w:t>
      </w:r>
      <w:r w:rsidR="00E4191A">
        <w:rPr>
          <w:rFonts w:ascii="Times New Roman" w:hAnsi="Times New Roman" w:cs="Times New Roman"/>
          <w:sz w:val="20"/>
          <w:szCs w:val="20"/>
        </w:rPr>
        <w:t xml:space="preserve">proposes </w:t>
      </w:r>
      <w:r w:rsidR="00057F18">
        <w:rPr>
          <w:rFonts w:ascii="Times New Roman" w:hAnsi="Times New Roman" w:cs="Times New Roman"/>
          <w:sz w:val="20"/>
          <w:szCs w:val="20"/>
        </w:rPr>
        <w:t xml:space="preserve">to confirm </w:t>
      </w:r>
      <w:r w:rsidR="00F04E16">
        <w:rPr>
          <w:rFonts w:ascii="Times New Roman" w:hAnsi="Times New Roman" w:cs="Times New Roman"/>
          <w:sz w:val="20"/>
          <w:szCs w:val="20"/>
        </w:rPr>
        <w:t xml:space="preserve">the working assumption </w:t>
      </w:r>
      <w:r w:rsidR="007365DD">
        <w:rPr>
          <w:rFonts w:ascii="Times New Roman" w:hAnsi="Times New Roman" w:cs="Times New Roman"/>
          <w:sz w:val="20"/>
          <w:szCs w:val="20"/>
        </w:rPr>
        <w:t>as well as propos</w:t>
      </w:r>
      <w:r w:rsidR="003F6C92">
        <w:rPr>
          <w:rFonts w:ascii="Times New Roman" w:hAnsi="Times New Roman" w:cs="Times New Roman"/>
          <w:sz w:val="20"/>
          <w:szCs w:val="20"/>
        </w:rPr>
        <w:t>ing the frequency domain resource</w:t>
      </w:r>
      <w:r w:rsidR="00E136F9">
        <w:rPr>
          <w:rFonts w:ascii="Times New Roman" w:hAnsi="Times New Roman" w:cs="Times New Roman"/>
          <w:sz w:val="20"/>
          <w:szCs w:val="20"/>
        </w:rPr>
        <w:t xml:space="preserve"> allocation</w:t>
      </w:r>
      <w:r w:rsidR="003F6C92">
        <w:rPr>
          <w:rFonts w:ascii="Times New Roman" w:hAnsi="Times New Roman" w:cs="Times New Roman"/>
          <w:sz w:val="20"/>
          <w:szCs w:val="20"/>
        </w:rPr>
        <w:t xml:space="preserve"> field </w:t>
      </w:r>
      <w:r w:rsidR="00E25113">
        <w:rPr>
          <w:rFonts w:ascii="Times New Roman" w:hAnsi="Times New Roman" w:cs="Times New Roman"/>
          <w:sz w:val="20"/>
          <w:szCs w:val="20"/>
        </w:rPr>
        <w:t>value</w:t>
      </w:r>
      <w:r w:rsidR="00FD7CFB">
        <w:rPr>
          <w:rFonts w:ascii="Times New Roman" w:hAnsi="Times New Roman" w:cs="Times New Roman"/>
          <w:sz w:val="20"/>
          <w:szCs w:val="20"/>
        </w:rPr>
        <w:t xml:space="preserve"> to trigger the Type</w:t>
      </w:r>
      <w:r w:rsidR="00F47EDD">
        <w:rPr>
          <w:rFonts w:ascii="Times New Roman" w:hAnsi="Times New Roman" w:cs="Times New Roman"/>
          <w:sz w:val="20"/>
          <w:szCs w:val="20"/>
        </w:rPr>
        <w:t>-</w:t>
      </w:r>
      <w:r w:rsidR="00FD7CFB">
        <w:rPr>
          <w:rFonts w:ascii="Times New Roman" w:hAnsi="Times New Roman" w:cs="Times New Roman"/>
          <w:sz w:val="20"/>
          <w:szCs w:val="20"/>
        </w:rPr>
        <w:t xml:space="preserve">3 HARQ-ACK codebook transmission using non scheduling </w:t>
      </w:r>
      <w:r w:rsidR="00E136F9">
        <w:rPr>
          <w:rFonts w:ascii="Times New Roman" w:hAnsi="Times New Roman" w:cs="Times New Roman"/>
          <w:sz w:val="20"/>
          <w:szCs w:val="20"/>
        </w:rPr>
        <w:t xml:space="preserve">DL </w:t>
      </w:r>
      <w:r w:rsidR="00FD7CFB">
        <w:rPr>
          <w:rFonts w:ascii="Times New Roman" w:hAnsi="Times New Roman" w:cs="Times New Roman"/>
          <w:sz w:val="20"/>
          <w:szCs w:val="20"/>
        </w:rPr>
        <w:t>DCI</w:t>
      </w:r>
      <w:r w:rsidR="00E4191A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07F0B03" w14:textId="01D86916" w:rsidR="004843FA" w:rsidRPr="00E078E2" w:rsidRDefault="00E25113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Discussion</w:t>
      </w:r>
      <w:r w:rsidR="00C32202">
        <w:rPr>
          <w:rFonts w:ascii="Times New Roman" w:hAnsi="Times New Roman"/>
          <w:szCs w:val="32"/>
        </w:rPr>
        <w:t>:</w:t>
      </w:r>
    </w:p>
    <w:p w14:paraId="28803CEF" w14:textId="13EA267F" w:rsidR="00C32202" w:rsidRPr="00E91DFD" w:rsidRDefault="00972B51" w:rsidP="00371A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enable</w:t>
      </w:r>
      <w:r w:rsidR="00314B31">
        <w:rPr>
          <w:rFonts w:ascii="Times New Roman" w:hAnsi="Times New Roman" w:cs="Times New Roman"/>
          <w:sz w:val="20"/>
          <w:szCs w:val="20"/>
        </w:rPr>
        <w:t xml:space="preserve"> triggering</w:t>
      </w:r>
      <w:r w:rsidR="005E2D1B">
        <w:rPr>
          <w:rFonts w:ascii="Times New Roman" w:hAnsi="Times New Roman" w:cs="Times New Roman"/>
          <w:sz w:val="20"/>
          <w:szCs w:val="20"/>
        </w:rPr>
        <w:t xml:space="preserve"> </w:t>
      </w:r>
      <w:r w:rsidR="009A310E">
        <w:rPr>
          <w:rFonts w:ascii="Times New Roman" w:hAnsi="Times New Roman" w:cs="Times New Roman"/>
          <w:sz w:val="20"/>
          <w:szCs w:val="20"/>
        </w:rPr>
        <w:t>one-shot</w:t>
      </w:r>
      <w:r w:rsidR="00F47EDD">
        <w:rPr>
          <w:rFonts w:ascii="Times New Roman" w:hAnsi="Times New Roman" w:cs="Times New Roman"/>
          <w:sz w:val="20"/>
          <w:szCs w:val="20"/>
        </w:rPr>
        <w:t xml:space="preserve"> HARQ ACK feedback </w:t>
      </w:r>
      <w:r w:rsidR="00314B31">
        <w:rPr>
          <w:rFonts w:ascii="Times New Roman" w:hAnsi="Times New Roman" w:cs="Times New Roman"/>
          <w:sz w:val="20"/>
          <w:szCs w:val="20"/>
        </w:rPr>
        <w:t>using</w:t>
      </w:r>
      <w:r w:rsidR="00002405">
        <w:rPr>
          <w:rFonts w:ascii="Times New Roman" w:hAnsi="Times New Roman" w:cs="Times New Roman"/>
          <w:sz w:val="20"/>
          <w:szCs w:val="20"/>
        </w:rPr>
        <w:t xml:space="preserve"> a </w:t>
      </w:r>
      <w:r w:rsidR="00006718">
        <w:rPr>
          <w:rFonts w:ascii="Times New Roman" w:hAnsi="Times New Roman" w:cs="Times New Roman"/>
          <w:sz w:val="20"/>
          <w:szCs w:val="20"/>
        </w:rPr>
        <w:t xml:space="preserve">DL DCI not scheduling a PDSCH, the agreed working assumption in the RAN1#99 meeting </w:t>
      </w:r>
      <w:r w:rsidR="00276A8F">
        <w:rPr>
          <w:rFonts w:ascii="Times New Roman" w:hAnsi="Times New Roman" w:cs="Times New Roman"/>
          <w:sz w:val="20"/>
          <w:szCs w:val="20"/>
        </w:rPr>
        <w:t>needs to be confirmed</w:t>
      </w:r>
      <w:r w:rsidR="00445672">
        <w:rPr>
          <w:rFonts w:ascii="Times New Roman" w:hAnsi="Times New Roman" w:cs="Times New Roman"/>
          <w:sz w:val="20"/>
          <w:szCs w:val="20"/>
        </w:rPr>
        <w:t>.</w:t>
      </w:r>
      <w:r w:rsidR="00276A8F">
        <w:rPr>
          <w:rFonts w:ascii="Times New Roman" w:hAnsi="Times New Roman" w:cs="Times New Roman"/>
          <w:sz w:val="20"/>
          <w:szCs w:val="20"/>
        </w:rPr>
        <w:t xml:space="preserve"> </w:t>
      </w:r>
      <w:r w:rsidR="00DE6D6F">
        <w:rPr>
          <w:rFonts w:ascii="Times New Roman" w:hAnsi="Times New Roman" w:cs="Times New Roman"/>
          <w:sz w:val="20"/>
          <w:szCs w:val="20"/>
        </w:rPr>
        <w:t>The</w:t>
      </w:r>
      <w:r w:rsidR="008E0ED8">
        <w:rPr>
          <w:rFonts w:ascii="Times New Roman" w:hAnsi="Times New Roman" w:cs="Times New Roman"/>
          <w:sz w:val="20"/>
          <w:szCs w:val="20"/>
        </w:rPr>
        <w:t xml:space="preserve"> frequency domain resource field with all “</w:t>
      </w:r>
      <w:r w:rsidR="00774CCA">
        <w:rPr>
          <w:rFonts w:ascii="Times New Roman" w:hAnsi="Times New Roman" w:cs="Times New Roman"/>
          <w:sz w:val="20"/>
          <w:szCs w:val="20"/>
        </w:rPr>
        <w:t>0</w:t>
      </w:r>
      <w:r w:rsidR="008E0ED8">
        <w:rPr>
          <w:rFonts w:ascii="Times New Roman" w:hAnsi="Times New Roman" w:cs="Times New Roman"/>
          <w:sz w:val="20"/>
          <w:szCs w:val="20"/>
        </w:rPr>
        <w:t xml:space="preserve">” </w:t>
      </w:r>
      <w:r w:rsidR="00C01F1C">
        <w:rPr>
          <w:rFonts w:ascii="Times New Roman" w:hAnsi="Times New Roman" w:cs="Times New Roman"/>
          <w:sz w:val="20"/>
          <w:szCs w:val="20"/>
        </w:rPr>
        <w:t>can be used</w:t>
      </w:r>
      <w:r w:rsidR="00DE6D6F">
        <w:rPr>
          <w:rFonts w:ascii="Times New Roman" w:hAnsi="Times New Roman" w:cs="Times New Roman"/>
          <w:sz w:val="20"/>
          <w:szCs w:val="20"/>
        </w:rPr>
        <w:t xml:space="preserve"> for resource allocation type 0 and all “1” can be used for resource allocation type 1</w:t>
      </w:r>
      <w:r w:rsidR="00C01F1C">
        <w:rPr>
          <w:rFonts w:ascii="Times New Roman" w:hAnsi="Times New Roman" w:cs="Times New Roman"/>
          <w:sz w:val="20"/>
          <w:szCs w:val="20"/>
        </w:rPr>
        <w:t>.</w:t>
      </w:r>
      <w:r w:rsidR="008E0ED8">
        <w:rPr>
          <w:rFonts w:ascii="Times New Roman" w:hAnsi="Times New Roman" w:cs="Times New Roman"/>
          <w:sz w:val="20"/>
          <w:szCs w:val="20"/>
        </w:rPr>
        <w:t xml:space="preserve"> </w:t>
      </w:r>
      <w:r w:rsidR="003C09DC">
        <w:rPr>
          <w:rFonts w:ascii="Times New Roman" w:hAnsi="Times New Roman" w:cs="Times New Roman"/>
          <w:sz w:val="20"/>
          <w:szCs w:val="20"/>
        </w:rPr>
        <w:t xml:space="preserve">It was raised that the FDRA values of all “1” and all “0” in the DCI format 1_1 are being used for </w:t>
      </w:r>
      <w:proofErr w:type="spellStart"/>
      <w:r w:rsidR="005E2D1B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5E2D1B">
        <w:rPr>
          <w:rFonts w:ascii="Times New Roman" w:hAnsi="Times New Roman" w:cs="Times New Roman"/>
          <w:sz w:val="20"/>
          <w:szCs w:val="20"/>
        </w:rPr>
        <w:t xml:space="preserve"> </w:t>
      </w:r>
      <w:r w:rsidR="003C09DC">
        <w:rPr>
          <w:rFonts w:ascii="Times New Roman" w:hAnsi="Times New Roman" w:cs="Times New Roman"/>
          <w:sz w:val="20"/>
          <w:szCs w:val="20"/>
        </w:rPr>
        <w:t xml:space="preserve">dormancy indication. </w:t>
      </w:r>
      <w:r w:rsidR="00E522F9">
        <w:rPr>
          <w:rFonts w:ascii="Times New Roman" w:hAnsi="Times New Roman" w:cs="Times New Roman"/>
          <w:sz w:val="20"/>
          <w:szCs w:val="20"/>
        </w:rPr>
        <w:t>When</w:t>
      </w:r>
      <w:r w:rsidR="003C09DC">
        <w:rPr>
          <w:rFonts w:ascii="Times New Roman" w:hAnsi="Times New Roman" w:cs="Times New Roman"/>
          <w:sz w:val="20"/>
          <w:szCs w:val="20"/>
        </w:rPr>
        <w:t xml:space="preserve"> the one shot HARQ</w:t>
      </w:r>
      <w:r w:rsidR="005E2D1B">
        <w:rPr>
          <w:rFonts w:ascii="Times New Roman" w:hAnsi="Times New Roman" w:cs="Times New Roman"/>
          <w:sz w:val="20"/>
          <w:szCs w:val="20"/>
        </w:rPr>
        <w:t>-</w:t>
      </w:r>
      <w:r w:rsidR="003C09DC">
        <w:rPr>
          <w:rFonts w:ascii="Times New Roman" w:hAnsi="Times New Roman" w:cs="Times New Roman"/>
          <w:sz w:val="20"/>
          <w:szCs w:val="20"/>
        </w:rPr>
        <w:t xml:space="preserve">ACK request </w:t>
      </w:r>
      <w:r w:rsidR="0047572B">
        <w:rPr>
          <w:rFonts w:ascii="Times New Roman" w:hAnsi="Times New Roman" w:cs="Times New Roman"/>
          <w:sz w:val="20"/>
          <w:szCs w:val="20"/>
        </w:rPr>
        <w:t>bit</w:t>
      </w:r>
      <w:r w:rsidR="003C09DC">
        <w:rPr>
          <w:rFonts w:ascii="Times New Roman" w:hAnsi="Times New Roman" w:cs="Times New Roman"/>
          <w:sz w:val="20"/>
          <w:szCs w:val="20"/>
        </w:rPr>
        <w:t xml:space="preserve">field </w:t>
      </w:r>
      <w:r w:rsidR="005E2D1B">
        <w:rPr>
          <w:rFonts w:ascii="Times New Roman" w:hAnsi="Times New Roman" w:cs="Times New Roman"/>
          <w:sz w:val="20"/>
          <w:szCs w:val="20"/>
        </w:rPr>
        <w:t>is present in</w:t>
      </w:r>
      <w:r w:rsidR="003C09DC">
        <w:rPr>
          <w:rFonts w:ascii="Times New Roman" w:hAnsi="Times New Roman" w:cs="Times New Roman"/>
          <w:sz w:val="20"/>
          <w:szCs w:val="20"/>
        </w:rPr>
        <w:t xml:space="preserve"> the DCI</w:t>
      </w:r>
      <w:r w:rsidR="00E522F9">
        <w:rPr>
          <w:rFonts w:ascii="Times New Roman" w:hAnsi="Times New Roman" w:cs="Times New Roman"/>
          <w:sz w:val="20"/>
          <w:szCs w:val="20"/>
        </w:rPr>
        <w:t xml:space="preserve">, only </w:t>
      </w:r>
      <w:r w:rsidR="005E2D1B">
        <w:rPr>
          <w:rFonts w:ascii="Times New Roman" w:hAnsi="Times New Roman" w:cs="Times New Roman"/>
          <w:sz w:val="20"/>
          <w:szCs w:val="20"/>
        </w:rPr>
        <w:t>the value 1 is used to trigger the feedback</w:t>
      </w:r>
      <w:r w:rsidR="00E522F9">
        <w:rPr>
          <w:rFonts w:ascii="Times New Roman" w:hAnsi="Times New Roman" w:cs="Times New Roman"/>
          <w:sz w:val="20"/>
          <w:szCs w:val="20"/>
        </w:rPr>
        <w:t>.</w:t>
      </w:r>
      <w:r w:rsidR="005E2D1B">
        <w:rPr>
          <w:rFonts w:ascii="Times New Roman" w:hAnsi="Times New Roman" w:cs="Times New Roman"/>
          <w:sz w:val="20"/>
          <w:szCs w:val="20"/>
        </w:rPr>
        <w:t xml:space="preserve"> </w:t>
      </w:r>
      <w:r w:rsidR="00E522F9">
        <w:rPr>
          <w:rFonts w:ascii="Times New Roman" w:hAnsi="Times New Roman" w:cs="Times New Roman"/>
          <w:sz w:val="20"/>
          <w:szCs w:val="20"/>
        </w:rPr>
        <w:t>I</w:t>
      </w:r>
      <w:r w:rsidR="005E2D1B">
        <w:rPr>
          <w:rFonts w:ascii="Times New Roman" w:hAnsi="Times New Roman" w:cs="Times New Roman"/>
          <w:sz w:val="20"/>
          <w:szCs w:val="20"/>
        </w:rPr>
        <w:t>t is possible to use the value 0 of one shot HARQ-ACK bitfield along with all “1” or all “0” in FDRA</w:t>
      </w:r>
      <w:r w:rsidR="003C09DC">
        <w:rPr>
          <w:rFonts w:ascii="Times New Roman" w:hAnsi="Times New Roman" w:cs="Times New Roman"/>
          <w:sz w:val="20"/>
          <w:szCs w:val="20"/>
        </w:rPr>
        <w:t xml:space="preserve"> </w:t>
      </w:r>
      <w:r w:rsidR="005E2D1B">
        <w:rPr>
          <w:rFonts w:ascii="Times New Roman" w:hAnsi="Times New Roman" w:cs="Times New Roman"/>
          <w:sz w:val="20"/>
          <w:szCs w:val="20"/>
        </w:rPr>
        <w:t xml:space="preserve">bitfield for </w:t>
      </w:r>
      <w:proofErr w:type="spellStart"/>
      <w:r w:rsidR="005E2D1B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5E2D1B">
        <w:rPr>
          <w:rFonts w:ascii="Times New Roman" w:hAnsi="Times New Roman" w:cs="Times New Roman"/>
          <w:sz w:val="20"/>
          <w:szCs w:val="20"/>
        </w:rPr>
        <w:t xml:space="preserve"> dormancy</w:t>
      </w:r>
      <w:r w:rsidR="00E522F9">
        <w:rPr>
          <w:rFonts w:ascii="Times New Roman" w:hAnsi="Times New Roman" w:cs="Times New Roman"/>
          <w:sz w:val="20"/>
          <w:szCs w:val="20"/>
        </w:rPr>
        <w:t xml:space="preserve"> to distinguish the two use cases</w:t>
      </w:r>
      <w:r w:rsidR="0047572B">
        <w:rPr>
          <w:rFonts w:ascii="Times New Roman" w:hAnsi="Times New Roman" w:cs="Times New Roman"/>
          <w:sz w:val="20"/>
          <w:szCs w:val="20"/>
        </w:rPr>
        <w:t xml:space="preserve">. </w:t>
      </w:r>
      <w:r w:rsidR="00170710">
        <w:rPr>
          <w:rFonts w:ascii="Times New Roman" w:hAnsi="Times New Roman" w:cs="Times New Roman"/>
          <w:sz w:val="20"/>
          <w:szCs w:val="20"/>
        </w:rPr>
        <w:t xml:space="preserve">The UE receiving a DCI format 1_1 </w:t>
      </w:r>
      <w:r w:rsidR="00C01F1C">
        <w:rPr>
          <w:rFonts w:ascii="Times New Roman" w:hAnsi="Times New Roman" w:cs="Times New Roman"/>
          <w:sz w:val="20"/>
          <w:szCs w:val="20"/>
        </w:rPr>
        <w:t xml:space="preserve">that includes a </w:t>
      </w:r>
      <w:r w:rsidR="00774CCA">
        <w:rPr>
          <w:rFonts w:ascii="Times New Roman" w:hAnsi="Times New Roman" w:cs="Times New Roman"/>
          <w:sz w:val="20"/>
          <w:szCs w:val="20"/>
        </w:rPr>
        <w:t>o</w:t>
      </w:r>
      <w:r w:rsidR="00C01F1C">
        <w:rPr>
          <w:rFonts w:ascii="Times New Roman" w:hAnsi="Times New Roman" w:cs="Times New Roman"/>
          <w:sz w:val="20"/>
          <w:szCs w:val="20"/>
        </w:rPr>
        <w:t xml:space="preserve">ne-shot HARQ-ACK request </w:t>
      </w:r>
      <w:r w:rsidR="00B95A77">
        <w:rPr>
          <w:rFonts w:ascii="Times New Roman" w:hAnsi="Times New Roman" w:cs="Times New Roman"/>
          <w:sz w:val="20"/>
          <w:szCs w:val="20"/>
        </w:rPr>
        <w:t xml:space="preserve">field with value 1 </w:t>
      </w:r>
      <w:r w:rsidR="005B42D7" w:rsidRPr="0047572B">
        <w:rPr>
          <w:rFonts w:ascii="Times New Roman" w:hAnsi="Times New Roman" w:cs="Times New Roman"/>
          <w:b/>
          <w:sz w:val="20"/>
          <w:szCs w:val="20"/>
        </w:rPr>
        <w:t>and</w:t>
      </w:r>
      <w:r w:rsidR="005B42D7">
        <w:rPr>
          <w:rFonts w:ascii="Times New Roman" w:hAnsi="Times New Roman" w:cs="Times New Roman"/>
          <w:sz w:val="20"/>
          <w:szCs w:val="20"/>
        </w:rPr>
        <w:t xml:space="preserve"> </w:t>
      </w:r>
      <w:r w:rsidR="00DE6D6F">
        <w:rPr>
          <w:rFonts w:ascii="Times New Roman" w:hAnsi="Times New Roman" w:cs="Times New Roman"/>
          <w:sz w:val="20"/>
          <w:szCs w:val="20"/>
        </w:rPr>
        <w:t>the special</w:t>
      </w:r>
      <w:r w:rsidR="005B42D7">
        <w:rPr>
          <w:rFonts w:ascii="Times New Roman" w:hAnsi="Times New Roman" w:cs="Times New Roman"/>
          <w:sz w:val="20"/>
          <w:szCs w:val="20"/>
        </w:rPr>
        <w:t xml:space="preserve"> frequency domain resource fi</w:t>
      </w:r>
      <w:r w:rsidR="008A335B">
        <w:rPr>
          <w:rFonts w:ascii="Times New Roman" w:hAnsi="Times New Roman" w:cs="Times New Roman"/>
          <w:sz w:val="20"/>
          <w:szCs w:val="20"/>
        </w:rPr>
        <w:t>el</w:t>
      </w:r>
      <w:r w:rsidR="005B42D7">
        <w:rPr>
          <w:rFonts w:ascii="Times New Roman" w:hAnsi="Times New Roman" w:cs="Times New Roman"/>
          <w:sz w:val="20"/>
          <w:szCs w:val="20"/>
        </w:rPr>
        <w:t xml:space="preserve">d transmits the </w:t>
      </w:r>
      <w:r w:rsidR="00764FC4">
        <w:rPr>
          <w:rFonts w:ascii="Times New Roman" w:hAnsi="Times New Roman" w:cs="Times New Roman"/>
          <w:sz w:val="20"/>
          <w:szCs w:val="20"/>
        </w:rPr>
        <w:t xml:space="preserve">Type-3 </w:t>
      </w:r>
      <w:r w:rsidR="005B42D7">
        <w:rPr>
          <w:rFonts w:ascii="Times New Roman" w:hAnsi="Times New Roman" w:cs="Times New Roman"/>
          <w:sz w:val="20"/>
          <w:szCs w:val="20"/>
        </w:rPr>
        <w:t>HARQ-ACK</w:t>
      </w:r>
      <w:r w:rsidR="00764FC4">
        <w:rPr>
          <w:rFonts w:ascii="Times New Roman" w:hAnsi="Times New Roman" w:cs="Times New Roman"/>
          <w:sz w:val="20"/>
          <w:szCs w:val="20"/>
        </w:rPr>
        <w:t xml:space="preserve"> codebook without </w:t>
      </w:r>
      <w:r w:rsidR="009018B3">
        <w:rPr>
          <w:rFonts w:ascii="Times New Roman" w:hAnsi="Times New Roman" w:cs="Times New Roman"/>
          <w:sz w:val="20"/>
          <w:szCs w:val="20"/>
        </w:rPr>
        <w:t xml:space="preserve">expecting to </w:t>
      </w:r>
      <w:r w:rsidR="00764FC4">
        <w:rPr>
          <w:rFonts w:ascii="Times New Roman" w:hAnsi="Times New Roman" w:cs="Times New Roman"/>
          <w:sz w:val="20"/>
          <w:szCs w:val="20"/>
        </w:rPr>
        <w:t>receiv</w:t>
      </w:r>
      <w:r w:rsidR="009018B3">
        <w:rPr>
          <w:rFonts w:ascii="Times New Roman" w:hAnsi="Times New Roman" w:cs="Times New Roman"/>
          <w:sz w:val="20"/>
          <w:szCs w:val="20"/>
        </w:rPr>
        <w:t>e</w:t>
      </w:r>
      <w:r w:rsidR="00764FC4">
        <w:rPr>
          <w:rFonts w:ascii="Times New Roman" w:hAnsi="Times New Roman" w:cs="Times New Roman"/>
          <w:sz w:val="20"/>
          <w:szCs w:val="20"/>
        </w:rPr>
        <w:t xml:space="preserve"> a PDSCH transmission.</w:t>
      </w:r>
    </w:p>
    <w:p w14:paraId="2B952A69" w14:textId="0D00AC28" w:rsidR="0015128F" w:rsidRDefault="00574A66" w:rsidP="00371A1B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 w:rsidR="007A07F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1</w:t>
      </w: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 w:rsidR="003C6A5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One value </w:t>
      </w:r>
      <w:r w:rsidR="00E0436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of the frequency domain resource assignment field indicates that </w:t>
      </w:r>
      <w:r w:rsidR="0017444F">
        <w:rPr>
          <w:rFonts w:ascii="Times New Roman" w:hAnsi="Times New Roman" w:cs="Times New Roman"/>
          <w:b/>
          <w:bCs/>
          <w:i/>
          <w:iCs/>
          <w:sz w:val="20"/>
          <w:szCs w:val="20"/>
        </w:rPr>
        <w:t>a DCI does not schedule a PDSCH.</w:t>
      </w:r>
      <w:r w:rsidR="003C6A5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</w:p>
    <w:p w14:paraId="6DD92949" w14:textId="7820B148" w:rsidR="00F058AD" w:rsidRDefault="006E1FBB" w:rsidP="00F058AD">
      <w:pPr>
        <w:pStyle w:val="ListParagraph"/>
        <w:numPr>
          <w:ilvl w:val="0"/>
          <w:numId w:val="53"/>
        </w:numPr>
        <w:ind w:firstLine="27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FDRA</w:t>
      </w:r>
      <w:r w:rsidR="00C518F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value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of a</w:t>
      </w:r>
      <w:r w:rsidR="00F058AD">
        <w:rPr>
          <w:rFonts w:ascii="Times New Roman" w:hAnsi="Times New Roman" w:cs="Times New Roman"/>
          <w:b/>
          <w:bCs/>
          <w:i/>
          <w:iCs/>
          <w:sz w:val="20"/>
          <w:szCs w:val="20"/>
        </w:rPr>
        <w:t>ll “</w:t>
      </w:r>
      <w:r w:rsidR="00774CCA">
        <w:rPr>
          <w:rFonts w:ascii="Times New Roman" w:hAnsi="Times New Roman" w:cs="Times New Roman"/>
          <w:b/>
          <w:bCs/>
          <w:i/>
          <w:iCs/>
          <w:sz w:val="20"/>
          <w:szCs w:val="20"/>
        </w:rPr>
        <w:t>0</w:t>
      </w:r>
      <w:r w:rsidR="00F058A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”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can be used</w:t>
      </w:r>
      <w:r w:rsidR="0001685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for </w:t>
      </w:r>
      <w:r w:rsidR="00DE6D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resource allocation type 0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193E06A7" w14:textId="43E9A1C5" w:rsidR="00DE6D6F" w:rsidRDefault="00DE6D6F" w:rsidP="00F058AD">
      <w:pPr>
        <w:pStyle w:val="ListParagraph"/>
        <w:numPr>
          <w:ilvl w:val="0"/>
          <w:numId w:val="53"/>
        </w:numPr>
        <w:ind w:firstLine="27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FDRA value of all “1” can be used for resource allocation type 1.</w:t>
      </w:r>
    </w:p>
    <w:p w14:paraId="74EFD25D" w14:textId="4C0C4D7C" w:rsidR="00A626F8" w:rsidRDefault="00A626F8" w:rsidP="00A626F8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1C544A2" w14:textId="13BDFF2E" w:rsidR="00314B31" w:rsidRDefault="00A626F8" w:rsidP="00A626F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Since the DL DCI is not </w:t>
      </w:r>
      <w:r w:rsidR="00314B31">
        <w:rPr>
          <w:rFonts w:ascii="Times New Roman" w:hAnsi="Times New Roman" w:cs="Times New Roman"/>
          <w:sz w:val="20"/>
          <w:szCs w:val="20"/>
        </w:rPr>
        <w:t xml:space="preserve">scheduling a PDSCH transmission, the UE needs to interpret the K1 value i.e. PDSCH-to-HARQ feedback timing field differently. The reference slot can be the slot on which the DCI triggering the one-shot feedback is received.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FEE2EF" w14:textId="0254B8E7" w:rsidR="00314B31" w:rsidRPr="00A626F8" w:rsidRDefault="00314B31" w:rsidP="00A626F8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2</w:t>
      </w: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In case the DCI triggering Type-3 HARQ-ACK codebook transmission is not scheduling a PDSCH, the reference slot for K1 indication is the slot on which the DCI is received. </w:t>
      </w:r>
    </w:p>
    <w:p w14:paraId="73A555FC" w14:textId="08B77C7B" w:rsidR="000A5764" w:rsidRPr="00346012" w:rsidRDefault="000A5764" w:rsidP="000A5764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lastRenderedPageBreak/>
        <w:t>Conclusion</w:t>
      </w:r>
      <w:r w:rsidR="007277A0">
        <w:rPr>
          <w:rFonts w:ascii="Times New Roman" w:hAnsi="Times New Roman"/>
          <w:szCs w:val="32"/>
        </w:rPr>
        <w:t>:</w:t>
      </w:r>
    </w:p>
    <w:p w14:paraId="0391582F" w14:textId="55684776" w:rsidR="00B60031" w:rsidRDefault="00E25113" w:rsidP="00F21B0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</w:t>
      </w:r>
      <w:r w:rsidR="00B60031" w:rsidRPr="00346012">
        <w:rPr>
          <w:rFonts w:ascii="Times New Roman" w:hAnsi="Times New Roman" w:cs="Times New Roman"/>
          <w:sz w:val="20"/>
          <w:szCs w:val="20"/>
        </w:rPr>
        <w:t xml:space="preserve">his contribution </w:t>
      </w:r>
      <w:r>
        <w:rPr>
          <w:rFonts w:ascii="Times New Roman" w:hAnsi="Times New Roman" w:cs="Times New Roman"/>
          <w:sz w:val="20"/>
          <w:szCs w:val="20"/>
        </w:rPr>
        <w:t xml:space="preserve">we </w:t>
      </w:r>
      <w:r w:rsidR="00E00F27">
        <w:rPr>
          <w:rFonts w:ascii="Times New Roman" w:hAnsi="Times New Roman" w:cs="Times New Roman"/>
          <w:sz w:val="20"/>
          <w:szCs w:val="20"/>
        </w:rPr>
        <w:t>propose the following:</w:t>
      </w:r>
    </w:p>
    <w:p w14:paraId="3E6D0B62" w14:textId="77777777" w:rsidR="00DE6D6F" w:rsidRDefault="00DE6D6F" w:rsidP="00DE6D6F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1</w:t>
      </w: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One value of the frequency domain resource assignment field indicates that a DCI does not schedule a PDSCH. </w:t>
      </w:r>
    </w:p>
    <w:p w14:paraId="785A7B06" w14:textId="77777777" w:rsidR="00DE6D6F" w:rsidRDefault="00DE6D6F" w:rsidP="00DE6D6F">
      <w:pPr>
        <w:pStyle w:val="ListParagraph"/>
        <w:numPr>
          <w:ilvl w:val="0"/>
          <w:numId w:val="53"/>
        </w:numPr>
        <w:ind w:firstLine="27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FDRA value of all “0” can be used for resource allocation type 0.</w:t>
      </w:r>
    </w:p>
    <w:p w14:paraId="332E19B4" w14:textId="5E77B9BF" w:rsidR="006E1FBB" w:rsidRDefault="00DE6D6F" w:rsidP="00DE6D6F">
      <w:pPr>
        <w:pStyle w:val="ListParagraph"/>
        <w:numPr>
          <w:ilvl w:val="0"/>
          <w:numId w:val="53"/>
        </w:numPr>
        <w:ind w:firstLine="27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FDRA value of all “1” can be used for resource allocation type 1.</w:t>
      </w:r>
    </w:p>
    <w:p w14:paraId="3185BA81" w14:textId="3BB9C331" w:rsidR="00314B31" w:rsidRDefault="00314B31" w:rsidP="00314B31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60820C29" w14:textId="0197DA81" w:rsidR="00314B31" w:rsidRPr="00314B31" w:rsidRDefault="00314B31" w:rsidP="00314B31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2</w:t>
      </w:r>
      <w:r w:rsidRPr="00574A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In case the DCI triggering Type-3 HARQ-ACK codebook transmission is not scheduling a PDSCH, the reference slot for K1 indication is the slot on which the DCI is received. </w:t>
      </w:r>
    </w:p>
    <w:p w14:paraId="7E4044A6" w14:textId="42D56225" w:rsidR="00417053" w:rsidRPr="00346012" w:rsidRDefault="00417053" w:rsidP="00417053">
      <w:pPr>
        <w:pStyle w:val="Heading1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</w:rPr>
        <w:t>References</w:t>
      </w:r>
    </w:p>
    <w:p w14:paraId="62BA25BB" w14:textId="262DE639" w:rsidR="00633297" w:rsidRPr="00FF310E" w:rsidRDefault="00B46E16" w:rsidP="00721FEC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</w:rPr>
      </w:pPr>
      <w:bookmarkStart w:id="2" w:name="_Ref32495127"/>
      <w:r>
        <w:rPr>
          <w:rFonts w:ascii="Times New Roman" w:hAnsi="Times New Roman"/>
          <w:sz w:val="20"/>
        </w:rPr>
        <w:t>“</w:t>
      </w:r>
      <w:r w:rsidR="00017218">
        <w:rPr>
          <w:rFonts w:ascii="Times New Roman" w:hAnsi="Times New Roman"/>
          <w:sz w:val="20"/>
        </w:rPr>
        <w:t>RAN1 Chairman’s notes</w:t>
      </w:r>
      <w:r w:rsidR="00170BB8">
        <w:rPr>
          <w:rFonts w:ascii="Times New Roman" w:hAnsi="Times New Roman"/>
          <w:sz w:val="20"/>
        </w:rPr>
        <w:t>, 3GPP TSG RAN1 WG1</w:t>
      </w:r>
      <w:r>
        <w:rPr>
          <w:rFonts w:ascii="Times New Roman" w:hAnsi="Times New Roman"/>
          <w:sz w:val="20"/>
        </w:rPr>
        <w:t xml:space="preserve"> meeting#99”, Reno USA, Nov 2019</w:t>
      </w:r>
      <w:r w:rsidR="00633297">
        <w:rPr>
          <w:rFonts w:ascii="Times New Roman" w:hAnsi="Times New Roman"/>
          <w:sz w:val="20"/>
        </w:rPr>
        <w:t>.</w:t>
      </w:r>
      <w:bookmarkEnd w:id="2"/>
    </w:p>
    <w:p w14:paraId="6D61E145" w14:textId="35A57580" w:rsidR="00D44335" w:rsidRPr="00E25113" w:rsidRDefault="00D44335" w:rsidP="00E25113">
      <w:pPr>
        <w:spacing w:after="0" w:line="240" w:lineRule="auto"/>
        <w:rPr>
          <w:rFonts w:ascii="Times New Roman" w:hAnsi="Times New Roman" w:cs="Times New Roman"/>
        </w:rPr>
      </w:pPr>
    </w:p>
    <w:sectPr w:rsidR="00D44335" w:rsidRPr="00E2511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CAAF5" w14:textId="77777777" w:rsidR="00013111" w:rsidRDefault="00013111">
      <w:r>
        <w:separator/>
      </w:r>
    </w:p>
  </w:endnote>
  <w:endnote w:type="continuationSeparator" w:id="0">
    <w:p w14:paraId="41F5584B" w14:textId="77777777" w:rsidR="00013111" w:rsidRDefault="00013111">
      <w:r>
        <w:continuationSeparator/>
      </w:r>
    </w:p>
  </w:endnote>
  <w:endnote w:type="continuationNotice" w:id="1">
    <w:p w14:paraId="17566D61" w14:textId="77777777" w:rsidR="00013111" w:rsidRDefault="00013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80A35" w14:textId="77777777" w:rsidR="00013111" w:rsidRDefault="00013111">
      <w:r>
        <w:separator/>
      </w:r>
    </w:p>
  </w:footnote>
  <w:footnote w:type="continuationSeparator" w:id="0">
    <w:p w14:paraId="6B3F044F" w14:textId="77777777" w:rsidR="00013111" w:rsidRDefault="00013111">
      <w:r>
        <w:continuationSeparator/>
      </w:r>
    </w:p>
  </w:footnote>
  <w:footnote w:type="continuationNotice" w:id="1">
    <w:p w14:paraId="58E8D75B" w14:textId="77777777" w:rsidR="00013111" w:rsidRDefault="000131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B3882"/>
    <w:multiLevelType w:val="hybridMultilevel"/>
    <w:tmpl w:val="0D9A4224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AB0333"/>
    <w:multiLevelType w:val="multilevel"/>
    <w:tmpl w:val="BAE2E91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34261F"/>
    <w:multiLevelType w:val="hybridMultilevel"/>
    <w:tmpl w:val="0A3C0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121E4"/>
    <w:multiLevelType w:val="hybridMultilevel"/>
    <w:tmpl w:val="C2246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00ED0"/>
    <w:multiLevelType w:val="hybridMultilevel"/>
    <w:tmpl w:val="D54AF5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7E0FB2"/>
    <w:multiLevelType w:val="hybridMultilevel"/>
    <w:tmpl w:val="AEFA4896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7" w15:restartNumberingAfterBreak="0">
    <w:nsid w:val="1A6132C8"/>
    <w:multiLevelType w:val="hybridMultilevel"/>
    <w:tmpl w:val="CDE8C7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DE7388"/>
    <w:multiLevelType w:val="hybridMultilevel"/>
    <w:tmpl w:val="E4960C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786896"/>
    <w:multiLevelType w:val="hybridMultilevel"/>
    <w:tmpl w:val="C8447A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937DF3"/>
    <w:multiLevelType w:val="hybridMultilevel"/>
    <w:tmpl w:val="AAE6D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62C21"/>
    <w:multiLevelType w:val="hybridMultilevel"/>
    <w:tmpl w:val="120485E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795D78"/>
    <w:multiLevelType w:val="hybridMultilevel"/>
    <w:tmpl w:val="F54CEABE"/>
    <w:lvl w:ilvl="0" w:tplc="ED64C8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D404C"/>
    <w:multiLevelType w:val="hybridMultilevel"/>
    <w:tmpl w:val="C5ECAA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BC387F"/>
    <w:multiLevelType w:val="hybridMultilevel"/>
    <w:tmpl w:val="7D4AF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CB0CDC"/>
    <w:multiLevelType w:val="hybridMultilevel"/>
    <w:tmpl w:val="2FCACB6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12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23301986"/>
    <w:multiLevelType w:val="hybridMultilevel"/>
    <w:tmpl w:val="81E22FE0"/>
    <w:lvl w:ilvl="0" w:tplc="CB0E866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DF0107"/>
    <w:multiLevelType w:val="multilevel"/>
    <w:tmpl w:val="3DFA0812"/>
    <w:lvl w:ilvl="0">
      <w:start w:val="1"/>
      <w:numFmt w:val="bullet"/>
      <w:lvlText w:val=""/>
      <w:lvlJc w:val="left"/>
      <w:pPr>
        <w:ind w:left="623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3" w:hanging="420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ind w:left="1463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20" w15:restartNumberingAfterBreak="0">
    <w:nsid w:val="2A9716D6"/>
    <w:multiLevelType w:val="multilevel"/>
    <w:tmpl w:val="2A9716D6"/>
    <w:lvl w:ilvl="0">
      <w:start w:val="1"/>
      <w:numFmt w:val="bullet"/>
      <w:lvlText w:val=""/>
      <w:lvlJc w:val="left"/>
      <w:pPr>
        <w:ind w:left="623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3" w:hanging="420"/>
      </w:pPr>
      <w:rPr>
        <w:rFonts w:ascii="Courier New" w:hAnsi="Courier New" w:cs="Times New Roman" w:hint="default"/>
      </w:rPr>
    </w:lvl>
    <w:lvl w:ilvl="2">
      <w:start w:val="1"/>
      <w:numFmt w:val="bullet"/>
      <w:lvlText w:val=""/>
      <w:lvlJc w:val="left"/>
      <w:pPr>
        <w:ind w:left="146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21" w15:restartNumberingAfterBreak="0">
    <w:nsid w:val="30D33ED2"/>
    <w:multiLevelType w:val="multilevel"/>
    <w:tmpl w:val="30D33ED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1A771F"/>
    <w:multiLevelType w:val="hybridMultilevel"/>
    <w:tmpl w:val="D13CA930"/>
    <w:lvl w:ilvl="0" w:tplc="ED64C8CA"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2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6F67"/>
    <w:multiLevelType w:val="hybridMultilevel"/>
    <w:tmpl w:val="D0D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BFC739E"/>
    <w:multiLevelType w:val="hybridMultilevel"/>
    <w:tmpl w:val="BD38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910F8B"/>
    <w:multiLevelType w:val="hybridMultilevel"/>
    <w:tmpl w:val="18AE24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CC60DE5"/>
    <w:multiLevelType w:val="hybridMultilevel"/>
    <w:tmpl w:val="5742181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5" w15:restartNumberingAfterBreak="0">
    <w:nsid w:val="4D6D0F82"/>
    <w:multiLevelType w:val="hybridMultilevel"/>
    <w:tmpl w:val="635402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4075F9E"/>
    <w:multiLevelType w:val="hybridMultilevel"/>
    <w:tmpl w:val="112882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04FE6"/>
    <w:multiLevelType w:val="hybridMultilevel"/>
    <w:tmpl w:val="EBE2CF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B587CDC"/>
    <w:multiLevelType w:val="multilevel"/>
    <w:tmpl w:val="5B587CDC"/>
    <w:lvl w:ilvl="0">
      <w:start w:val="1"/>
      <w:numFmt w:val="bullet"/>
      <w:lvlText w:val=""/>
      <w:lvlJc w:val="left"/>
      <w:pPr>
        <w:ind w:left="623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4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40" w15:restartNumberingAfterBreak="0">
    <w:nsid w:val="5BF92265"/>
    <w:multiLevelType w:val="multilevel"/>
    <w:tmpl w:val="8AB6D1C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C0E5662"/>
    <w:multiLevelType w:val="hybridMultilevel"/>
    <w:tmpl w:val="AE36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6E21C7"/>
    <w:multiLevelType w:val="hybridMultilevel"/>
    <w:tmpl w:val="F8CC6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0C45A2"/>
    <w:multiLevelType w:val="hybridMultilevel"/>
    <w:tmpl w:val="3B9A0A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118319F"/>
    <w:multiLevelType w:val="hybridMultilevel"/>
    <w:tmpl w:val="EB92F68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5" w15:restartNumberingAfterBreak="0">
    <w:nsid w:val="633955C7"/>
    <w:multiLevelType w:val="hybridMultilevel"/>
    <w:tmpl w:val="F3BAD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4E14E34"/>
    <w:multiLevelType w:val="hybridMultilevel"/>
    <w:tmpl w:val="9ACACC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429A2"/>
    <w:multiLevelType w:val="hybridMultilevel"/>
    <w:tmpl w:val="AAA4E8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9E2E0E"/>
    <w:multiLevelType w:val="multilevel"/>
    <w:tmpl w:val="7B9E2E0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E66682"/>
    <w:multiLevelType w:val="hybridMultilevel"/>
    <w:tmpl w:val="B9BACA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E3C1FDA"/>
    <w:multiLevelType w:val="hybridMultilevel"/>
    <w:tmpl w:val="2CF89D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E3F16D2"/>
    <w:multiLevelType w:val="hybridMultilevel"/>
    <w:tmpl w:val="6C9AE5D8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4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6"/>
  </w:num>
  <w:num w:numId="4">
    <w:abstractNumId w:val="28"/>
  </w:num>
  <w:num w:numId="5">
    <w:abstractNumId w:val="22"/>
  </w:num>
  <w:num w:numId="6">
    <w:abstractNumId w:val="30"/>
  </w:num>
  <w:num w:numId="7">
    <w:abstractNumId w:val="37"/>
  </w:num>
  <w:num w:numId="8">
    <w:abstractNumId w:val="24"/>
  </w:num>
  <w:num w:numId="9">
    <w:abstractNumId w:val="49"/>
  </w:num>
  <w:num w:numId="10">
    <w:abstractNumId w:val="25"/>
    <w:lvlOverride w:ilvl="0">
      <w:startOverride w:val="1"/>
    </w:lvlOverride>
  </w:num>
  <w:num w:numId="11">
    <w:abstractNumId w:val="31"/>
  </w:num>
  <w:num w:numId="12">
    <w:abstractNumId w:val="23"/>
  </w:num>
  <w:num w:numId="13">
    <w:abstractNumId w:val="16"/>
  </w:num>
  <w:num w:numId="14">
    <w:abstractNumId w:val="13"/>
  </w:num>
  <w:num w:numId="15">
    <w:abstractNumId w:val="44"/>
  </w:num>
  <w:num w:numId="16">
    <w:abstractNumId w:val="3"/>
  </w:num>
  <w:num w:numId="17">
    <w:abstractNumId w:val="12"/>
  </w:num>
  <w:num w:numId="18">
    <w:abstractNumId w:val="34"/>
  </w:num>
  <w:num w:numId="19">
    <w:abstractNumId w:val="15"/>
  </w:num>
  <w:num w:numId="20">
    <w:abstractNumId w:val="5"/>
  </w:num>
  <w:num w:numId="21">
    <w:abstractNumId w:val="10"/>
  </w:num>
  <w:num w:numId="22">
    <w:abstractNumId w:val="41"/>
  </w:num>
  <w:num w:numId="23">
    <w:abstractNumId w:val="42"/>
  </w:num>
  <w:num w:numId="24">
    <w:abstractNumId w:val="4"/>
  </w:num>
  <w:num w:numId="25">
    <w:abstractNumId w:val="39"/>
  </w:num>
  <w:num w:numId="26">
    <w:abstractNumId w:val="20"/>
  </w:num>
  <w:num w:numId="27">
    <w:abstractNumId w:val="19"/>
  </w:num>
  <w:num w:numId="28">
    <w:abstractNumId w:val="48"/>
  </w:num>
  <w:num w:numId="29">
    <w:abstractNumId w:val="27"/>
  </w:num>
  <w:num w:numId="30">
    <w:abstractNumId w:val="21"/>
  </w:num>
  <w:num w:numId="31">
    <w:abstractNumId w:val="40"/>
  </w:num>
  <w:num w:numId="32">
    <w:abstractNumId w:val="2"/>
  </w:num>
  <w:num w:numId="33">
    <w:abstractNumId w:val="29"/>
  </w:num>
  <w:num w:numId="34">
    <w:abstractNumId w:val="6"/>
  </w:num>
  <w:num w:numId="35">
    <w:abstractNumId w:val="52"/>
  </w:num>
  <w:num w:numId="36">
    <w:abstractNumId w:val="11"/>
  </w:num>
  <w:num w:numId="37">
    <w:abstractNumId w:val="43"/>
  </w:num>
  <w:num w:numId="38">
    <w:abstractNumId w:val="36"/>
  </w:num>
  <w:num w:numId="39">
    <w:abstractNumId w:val="38"/>
  </w:num>
  <w:num w:numId="40">
    <w:abstractNumId w:val="47"/>
  </w:num>
  <w:num w:numId="41">
    <w:abstractNumId w:val="7"/>
  </w:num>
  <w:num w:numId="42">
    <w:abstractNumId w:val="9"/>
  </w:num>
  <w:num w:numId="43">
    <w:abstractNumId w:val="35"/>
  </w:num>
  <w:num w:numId="44">
    <w:abstractNumId w:val="50"/>
  </w:num>
  <w:num w:numId="45">
    <w:abstractNumId w:val="8"/>
  </w:num>
  <w:num w:numId="46">
    <w:abstractNumId w:val="45"/>
  </w:num>
  <w:num w:numId="47">
    <w:abstractNumId w:val="1"/>
  </w:num>
  <w:num w:numId="48">
    <w:abstractNumId w:val="33"/>
  </w:num>
  <w:num w:numId="49">
    <w:abstractNumId w:val="14"/>
  </w:num>
  <w:num w:numId="50">
    <w:abstractNumId w:val="51"/>
  </w:num>
  <w:num w:numId="51">
    <w:abstractNumId w:val="46"/>
  </w:num>
  <w:num w:numId="52">
    <w:abstractNumId w:val="17"/>
  </w:num>
  <w:num w:numId="53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1826"/>
    <w:rsid w:val="00002405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718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3111"/>
    <w:rsid w:val="00015039"/>
    <w:rsid w:val="000153E9"/>
    <w:rsid w:val="00015D15"/>
    <w:rsid w:val="0001611C"/>
    <w:rsid w:val="000164BC"/>
    <w:rsid w:val="00016856"/>
    <w:rsid w:val="0001694D"/>
    <w:rsid w:val="00016C0D"/>
    <w:rsid w:val="00017074"/>
    <w:rsid w:val="00017218"/>
    <w:rsid w:val="000179A9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1C2F"/>
    <w:rsid w:val="00031DCF"/>
    <w:rsid w:val="000325B8"/>
    <w:rsid w:val="00033351"/>
    <w:rsid w:val="0003410A"/>
    <w:rsid w:val="00034C15"/>
    <w:rsid w:val="00035EA8"/>
    <w:rsid w:val="00035EDA"/>
    <w:rsid w:val="00035F74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57F18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4C53"/>
    <w:rsid w:val="000C501B"/>
    <w:rsid w:val="000C50FA"/>
    <w:rsid w:val="000C53CC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1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CF4"/>
    <w:rsid w:val="00113DCD"/>
    <w:rsid w:val="0011502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28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A90"/>
    <w:rsid w:val="00157B7B"/>
    <w:rsid w:val="00157F10"/>
    <w:rsid w:val="0016036A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359"/>
    <w:rsid w:val="00167A2F"/>
    <w:rsid w:val="00170710"/>
    <w:rsid w:val="00170B00"/>
    <w:rsid w:val="00170BB8"/>
    <w:rsid w:val="001711A9"/>
    <w:rsid w:val="00171478"/>
    <w:rsid w:val="00171E9B"/>
    <w:rsid w:val="00171FAE"/>
    <w:rsid w:val="001735B9"/>
    <w:rsid w:val="00173A8E"/>
    <w:rsid w:val="0017437B"/>
    <w:rsid w:val="0017444F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9D0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C20"/>
    <w:rsid w:val="001C508D"/>
    <w:rsid w:val="001C5B0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E0033"/>
    <w:rsid w:val="001E018C"/>
    <w:rsid w:val="001E0427"/>
    <w:rsid w:val="001E076C"/>
    <w:rsid w:val="001E0A3B"/>
    <w:rsid w:val="001E0B68"/>
    <w:rsid w:val="001E0E46"/>
    <w:rsid w:val="001E217E"/>
    <w:rsid w:val="001E23E4"/>
    <w:rsid w:val="001E2AD7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5E4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099"/>
    <w:rsid w:val="00236493"/>
    <w:rsid w:val="0023684E"/>
    <w:rsid w:val="00236ED3"/>
    <w:rsid w:val="00237918"/>
    <w:rsid w:val="00240798"/>
    <w:rsid w:val="0024083C"/>
    <w:rsid w:val="0024093C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4189"/>
    <w:rsid w:val="00264228"/>
    <w:rsid w:val="00264334"/>
    <w:rsid w:val="0026473E"/>
    <w:rsid w:val="002650B0"/>
    <w:rsid w:val="00265223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A8F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A61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760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5A60"/>
    <w:rsid w:val="003060F8"/>
    <w:rsid w:val="0030704D"/>
    <w:rsid w:val="00307A42"/>
    <w:rsid w:val="00307A45"/>
    <w:rsid w:val="00307BA1"/>
    <w:rsid w:val="00307FF4"/>
    <w:rsid w:val="003103EA"/>
    <w:rsid w:val="00311702"/>
    <w:rsid w:val="00311E82"/>
    <w:rsid w:val="003124BA"/>
    <w:rsid w:val="00312C0A"/>
    <w:rsid w:val="00313C85"/>
    <w:rsid w:val="00313FD6"/>
    <w:rsid w:val="003143BD"/>
    <w:rsid w:val="00314B31"/>
    <w:rsid w:val="00315304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FE5"/>
    <w:rsid w:val="003C09DC"/>
    <w:rsid w:val="003C0D50"/>
    <w:rsid w:val="003C11C8"/>
    <w:rsid w:val="003C12B9"/>
    <w:rsid w:val="003C1955"/>
    <w:rsid w:val="003C1CA4"/>
    <w:rsid w:val="003C1DE1"/>
    <w:rsid w:val="003C22BF"/>
    <w:rsid w:val="003C2702"/>
    <w:rsid w:val="003C2907"/>
    <w:rsid w:val="003C3076"/>
    <w:rsid w:val="003C359F"/>
    <w:rsid w:val="003C3E39"/>
    <w:rsid w:val="003C3FC4"/>
    <w:rsid w:val="003C4FFF"/>
    <w:rsid w:val="003C5E41"/>
    <w:rsid w:val="003C62E9"/>
    <w:rsid w:val="003C62ED"/>
    <w:rsid w:val="003C639E"/>
    <w:rsid w:val="003C6A5E"/>
    <w:rsid w:val="003C6C78"/>
    <w:rsid w:val="003C6D1B"/>
    <w:rsid w:val="003C6E0C"/>
    <w:rsid w:val="003C733E"/>
    <w:rsid w:val="003C7806"/>
    <w:rsid w:val="003D109F"/>
    <w:rsid w:val="003D2478"/>
    <w:rsid w:val="003D2FDA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6C92"/>
    <w:rsid w:val="003F77C3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5EB0"/>
    <w:rsid w:val="00416DDF"/>
    <w:rsid w:val="00416EC3"/>
    <w:rsid w:val="0041705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672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72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4642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6270"/>
    <w:rsid w:val="004B6678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1CB0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19CF"/>
    <w:rsid w:val="00522170"/>
    <w:rsid w:val="00522857"/>
    <w:rsid w:val="0052348F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6B1"/>
    <w:rsid w:val="00560C31"/>
    <w:rsid w:val="0056121F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4A66"/>
    <w:rsid w:val="005752DA"/>
    <w:rsid w:val="00575FE4"/>
    <w:rsid w:val="005764C7"/>
    <w:rsid w:val="00576670"/>
    <w:rsid w:val="00576734"/>
    <w:rsid w:val="00576784"/>
    <w:rsid w:val="0057762F"/>
    <w:rsid w:val="005807DC"/>
    <w:rsid w:val="0058172D"/>
    <w:rsid w:val="005817C9"/>
    <w:rsid w:val="00582388"/>
    <w:rsid w:val="00582561"/>
    <w:rsid w:val="00582809"/>
    <w:rsid w:val="00583F52"/>
    <w:rsid w:val="00583F8C"/>
    <w:rsid w:val="00584CE4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2D7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4A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1B"/>
    <w:rsid w:val="005E2DCB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297"/>
    <w:rsid w:val="00633697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6F0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FBB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7A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5DD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A91"/>
    <w:rsid w:val="00743B80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300E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319A"/>
    <w:rsid w:val="00763B30"/>
    <w:rsid w:val="00764724"/>
    <w:rsid w:val="00764AF3"/>
    <w:rsid w:val="00764FC4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4CCA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7FA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E22"/>
    <w:rsid w:val="007D236C"/>
    <w:rsid w:val="007D261C"/>
    <w:rsid w:val="007D28AC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2F7F"/>
    <w:rsid w:val="0089347C"/>
    <w:rsid w:val="008947E4"/>
    <w:rsid w:val="00894A88"/>
    <w:rsid w:val="00894C12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35B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0ED8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18B3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8F8"/>
    <w:rsid w:val="00940C00"/>
    <w:rsid w:val="00940C94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57C5F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B51"/>
    <w:rsid w:val="00972E1B"/>
    <w:rsid w:val="0097329C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923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310E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30C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499"/>
    <w:rsid w:val="00A623D0"/>
    <w:rsid w:val="00A626F8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4019"/>
    <w:rsid w:val="00B44A42"/>
    <w:rsid w:val="00B44B37"/>
    <w:rsid w:val="00B45A52"/>
    <w:rsid w:val="00B46175"/>
    <w:rsid w:val="00B46E16"/>
    <w:rsid w:val="00B47435"/>
    <w:rsid w:val="00B477B8"/>
    <w:rsid w:val="00B47803"/>
    <w:rsid w:val="00B4791A"/>
    <w:rsid w:val="00B47C29"/>
    <w:rsid w:val="00B47D21"/>
    <w:rsid w:val="00B50916"/>
    <w:rsid w:val="00B50C3C"/>
    <w:rsid w:val="00B51008"/>
    <w:rsid w:val="00B51031"/>
    <w:rsid w:val="00B51D73"/>
    <w:rsid w:val="00B52318"/>
    <w:rsid w:val="00B5286A"/>
    <w:rsid w:val="00B53485"/>
    <w:rsid w:val="00B537CE"/>
    <w:rsid w:val="00B54858"/>
    <w:rsid w:val="00B54913"/>
    <w:rsid w:val="00B556DC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5A30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A77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4D2E"/>
    <w:rsid w:val="00BC4E54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5867"/>
    <w:rsid w:val="00BF6454"/>
    <w:rsid w:val="00BF657B"/>
    <w:rsid w:val="00BF6EEA"/>
    <w:rsid w:val="00BF6FD7"/>
    <w:rsid w:val="00BF74C7"/>
    <w:rsid w:val="00C00CCF"/>
    <w:rsid w:val="00C014D9"/>
    <w:rsid w:val="00C015F1"/>
    <w:rsid w:val="00C01F1C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226CD"/>
    <w:rsid w:val="00C22A66"/>
    <w:rsid w:val="00C23EAD"/>
    <w:rsid w:val="00C24AA4"/>
    <w:rsid w:val="00C24D21"/>
    <w:rsid w:val="00C25C48"/>
    <w:rsid w:val="00C26007"/>
    <w:rsid w:val="00C2671D"/>
    <w:rsid w:val="00C27556"/>
    <w:rsid w:val="00C279B5"/>
    <w:rsid w:val="00C27C45"/>
    <w:rsid w:val="00C3137E"/>
    <w:rsid w:val="00C3171B"/>
    <w:rsid w:val="00C31BA5"/>
    <w:rsid w:val="00C31D66"/>
    <w:rsid w:val="00C32202"/>
    <w:rsid w:val="00C3248C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82F"/>
    <w:rsid w:val="00C40976"/>
    <w:rsid w:val="00C41535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8F8"/>
    <w:rsid w:val="00C5269D"/>
    <w:rsid w:val="00C52B72"/>
    <w:rsid w:val="00C537C2"/>
    <w:rsid w:val="00C53AD2"/>
    <w:rsid w:val="00C53E30"/>
    <w:rsid w:val="00C53FA7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61B"/>
    <w:rsid w:val="00C67D98"/>
    <w:rsid w:val="00C67F91"/>
    <w:rsid w:val="00C70697"/>
    <w:rsid w:val="00C70D2F"/>
    <w:rsid w:val="00C728F3"/>
    <w:rsid w:val="00C72EF4"/>
    <w:rsid w:val="00C72F4E"/>
    <w:rsid w:val="00C73DC2"/>
    <w:rsid w:val="00C7412A"/>
    <w:rsid w:val="00C74952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4C"/>
    <w:rsid w:val="00CA38D6"/>
    <w:rsid w:val="00CA39A2"/>
    <w:rsid w:val="00CA3A68"/>
    <w:rsid w:val="00CA3DFD"/>
    <w:rsid w:val="00CA3E47"/>
    <w:rsid w:val="00CA4724"/>
    <w:rsid w:val="00CA4E1A"/>
    <w:rsid w:val="00CA4E58"/>
    <w:rsid w:val="00CA59E2"/>
    <w:rsid w:val="00CA5D20"/>
    <w:rsid w:val="00CA6781"/>
    <w:rsid w:val="00CA6AE8"/>
    <w:rsid w:val="00CB0F89"/>
    <w:rsid w:val="00CB1F63"/>
    <w:rsid w:val="00CB2067"/>
    <w:rsid w:val="00CB37DE"/>
    <w:rsid w:val="00CB4899"/>
    <w:rsid w:val="00CB4D5A"/>
    <w:rsid w:val="00CB4EF3"/>
    <w:rsid w:val="00CB63CF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C4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F0782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5FF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335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A94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E6D6F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436D"/>
    <w:rsid w:val="00E04BB2"/>
    <w:rsid w:val="00E05500"/>
    <w:rsid w:val="00E060FC"/>
    <w:rsid w:val="00E07799"/>
    <w:rsid w:val="00E078E2"/>
    <w:rsid w:val="00E10E81"/>
    <w:rsid w:val="00E10E95"/>
    <w:rsid w:val="00E110E7"/>
    <w:rsid w:val="00E11B20"/>
    <w:rsid w:val="00E12763"/>
    <w:rsid w:val="00E128BD"/>
    <w:rsid w:val="00E12923"/>
    <w:rsid w:val="00E13310"/>
    <w:rsid w:val="00E136F9"/>
    <w:rsid w:val="00E13AB8"/>
    <w:rsid w:val="00E140BD"/>
    <w:rsid w:val="00E14C1C"/>
    <w:rsid w:val="00E151C0"/>
    <w:rsid w:val="00E15432"/>
    <w:rsid w:val="00E155C6"/>
    <w:rsid w:val="00E158A7"/>
    <w:rsid w:val="00E158E4"/>
    <w:rsid w:val="00E166CD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113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1A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5C83"/>
    <w:rsid w:val="00E46886"/>
    <w:rsid w:val="00E47AEF"/>
    <w:rsid w:val="00E50125"/>
    <w:rsid w:val="00E5019A"/>
    <w:rsid w:val="00E50506"/>
    <w:rsid w:val="00E512D9"/>
    <w:rsid w:val="00E517C3"/>
    <w:rsid w:val="00E5219A"/>
    <w:rsid w:val="00E522F9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DFD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3E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D18"/>
    <w:rsid w:val="00EE593B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211F"/>
    <w:rsid w:val="00F038F0"/>
    <w:rsid w:val="00F0404A"/>
    <w:rsid w:val="00F041D8"/>
    <w:rsid w:val="00F047BD"/>
    <w:rsid w:val="00F04A03"/>
    <w:rsid w:val="00F04AF7"/>
    <w:rsid w:val="00F04D4B"/>
    <w:rsid w:val="00F04E16"/>
    <w:rsid w:val="00F0528D"/>
    <w:rsid w:val="00F058A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AA7"/>
    <w:rsid w:val="00F17C46"/>
    <w:rsid w:val="00F20827"/>
    <w:rsid w:val="00F209B7"/>
    <w:rsid w:val="00F21135"/>
    <w:rsid w:val="00F213C1"/>
    <w:rsid w:val="00F21B0F"/>
    <w:rsid w:val="00F21C5E"/>
    <w:rsid w:val="00F22942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AA6"/>
    <w:rsid w:val="00F34B14"/>
    <w:rsid w:val="00F34D4D"/>
    <w:rsid w:val="00F34EDE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69F"/>
    <w:rsid w:val="00F457DA"/>
    <w:rsid w:val="00F468C8"/>
    <w:rsid w:val="00F4766C"/>
    <w:rsid w:val="00F477F2"/>
    <w:rsid w:val="00F47EDD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B43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06AB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77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50B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4D3C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D7CFB"/>
    <w:rsid w:val="00FE0490"/>
    <w:rsid w:val="00FE0522"/>
    <w:rsid w:val="00FE0655"/>
    <w:rsid w:val="00FE17A2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495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49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495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6214C-0E6A-487A-88E7-BD908170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5a888943-97ca-4c93-b605-714bb5e9e285"/>
    <ds:schemaRef ds:uri="http://schemas.microsoft.com/office/infopath/2007/PartnerControls"/>
    <ds:schemaRef ds:uri="e32f50e1-6846-4d7d-ad60-ccd6877e6c5e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870F812-695C-49D2-9097-CE1C2FCB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2020-04-09T14:46:00Z</dcterms:created>
  <dcterms:modified xsi:type="dcterms:W3CDTF">2020-04-09T21:21:00Z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